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8"/>
        <w:gridCol w:w="851"/>
        <w:gridCol w:w="3107"/>
        <w:tblGridChange w:id="0">
          <w:tblGrid>
            <w:gridCol w:w="5098"/>
            <w:gridCol w:w="851"/>
            <w:gridCol w:w="3107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Oznaczenie Podmiotu Zobowiązanego, do którego kierowany jest wniosek: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Nazwa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Adres: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Data złożenia wniosku: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……….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Dane wnioskodawcy: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Imię i nazwisko lub nazwa firmy: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Adres zamieszkania/siedziba: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Numer telefonu: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Adres 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Osoba kontaktowa (imię i nazwisko):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Numer konta wnioskodawcy: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Czy Wnioskodawca jest przedsiębiorcą?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Czy Wnioskodawca jest czynnym płatnikiem podatku VAT?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Numer NIP: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Lokalizacja inwestycji: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Adres: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Numer działki i obręb: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Numer księgi wieczystej: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Tytuł prawny Wnioskodawcy do nieruchomości, na której realizowane jest Przedsięwzięcie: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Rodzaj realizowanego Przedsięwzięcia, o dofinansowanie którego ubiega się Wnioskodawca: 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wymiana urządzeń lub instalacji służących do celów ogrzewania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highlight w:val="white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wymiana urządzeń lub instalacji służących do celów przygotowania ciepłej wody użytkowej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przyłączenie do sieci ciepłowniczej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Rodzaj budynku, w którym realizowane jest Przedsięwzięcie: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budynek jednorodzinny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budynek wielorodzinny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inny (wskazać przeznaczenie)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Czy Wnioskodawca posiada audyt energetyczny budynku: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Data podpisania przez Wnioskodawcę umowy z wykonawcą przedsięwzięcia: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Wykonawca Przedsięwzięcia: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Data zakończenia Przedsięwzięcia: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Rodzaj urządzenia / instalacji podlegających wymianie (dotychczasowego):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Klasa efektywności energetycznej urządzenia / instalacji podlegających wymianie: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Rodzaj urządzenia / instalacji montowanego w ramach realizacji Przedsięwzięcia: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Kocioł niskotemperaturowy na biometan lub biogaz, lub biogaz rolniczy, lub biopaliwo ciekłe 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Kocioł niskotemperaturowy na biomasę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Elektryczny podgrzewacz przepływowy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Elektryczny podgrzewacz akumulacyjny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Pompa ciepła typu woda/woda, sprężarkowa, napędzana elektrycznie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Pompa ciepła typu glikol/woda, sprężarkowa, napędzana elektrycznie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Pompa ciepła typu bezpośrednie odparowanie w gruncie/woda, sprężarkowa, napędzana elektrycznie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Pompa ciepła typu powietrze/woda, sprężarkowa, napędzana elektrycznie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Pompa ciepła typu powietrze/woda, sprężarkowa, napędzana gazem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Pompa ciepła typu powietrze/woda, absorpcyjna, napędzana gazem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Pompa ciepła typu glikol/woda, sprężarkowa, napędzana gazem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Pompa ciepła typu glikol/woda, absorpcyjna, napędzana gazem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Węzeł cieplny kompaktowy z obudową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Węzeł cieplny kompaktowy bez obudowy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Rok budowy budynku w którym następuje wymiana urządzenia / instalacji</w:t>
            </w:r>
            <w:r w:rsidDel="00000000" w:rsidR="00000000" w:rsidRPr="00000000">
              <w:rPr>
                <w:highlight w:val="white"/>
                <w:rtl w:val="0"/>
              </w:rPr>
              <w:t xml:space="preserve"> służących do celów ogrzewania lub przygotowania ciepłej wody użytkowej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Powierzchnia o regulowanej temperaturze powietrza [m2] </w:t>
            </w:r>
            <w:r w:rsidDel="00000000" w:rsidR="00000000" w:rsidRPr="00000000">
              <w:rPr>
                <w:highlight w:val="white"/>
                <w:rtl w:val="0"/>
              </w:rPr>
              <w:t xml:space="preserve">wyznaczona według PN-ISO 9836:2015-12 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8">
            <w:pPr>
              <w:spacing w:after="120" w:before="12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Eu </w:t>
            </w:r>
            <w:r w:rsidDel="00000000" w:rsidR="00000000" w:rsidRPr="00000000">
              <w:rPr>
                <w:highlight w:val="white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jednostkowe zapotrzebowanie budynku na energię użytkową </w:t>
            </w:r>
            <w:r w:rsidDel="00000000" w:rsidR="00000000" w:rsidRPr="00000000">
              <w:rPr>
                <w:highlight w:val="white"/>
                <w:rtl w:val="0"/>
              </w:rPr>
              <w:t xml:space="preserve"> [kWh/m2/rok]: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η1 - sprawność systemu grzewczego przed realizacją przedsięwzięcia o</w:t>
            </w:r>
            <w:r w:rsidDel="00000000" w:rsidR="00000000" w:rsidRPr="00000000">
              <w:rPr>
                <w:highlight w:val="white"/>
                <w:rtl w:val="0"/>
              </w:rPr>
              <w:t xml:space="preserve">bliczona zgodnie z przepisami wydanymi na podstawie art. 15 ustawy z dnia 29 sierpnia 2014 r. o charakterystyce energetycznej budynków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η2 - sprawność systemu grzewczego po realizacji przedsięwzięcia o</w:t>
            </w:r>
            <w:r w:rsidDel="00000000" w:rsidR="00000000" w:rsidRPr="00000000">
              <w:rPr>
                <w:highlight w:val="white"/>
                <w:rtl w:val="0"/>
              </w:rPr>
              <w:t xml:space="preserve">bliczona zgodnie z przepisami wydanymi na podstawie art. 15 ustawy z dnia 29 sierpnia 2014 r. o charakterystyce energetycznej budynków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Strefa klimatyczna: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Koszt realizacji Przedsięwzięcia: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Wnioskowana kwota dofinansowania: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Suma oszczędności określona jako ilość energii finalnej zaoszczędzonej w wyniku realizacji Przedsięwzięcia w roku kalendarzowym, wyrażona w tonach oleju ekwiwalentnego, ustalona na podstawie wartości referencyjnych określonych przez Ministra Klimatu i Środowiska na podstawie art. 15a ust. 5 Ustawy z dnia 20 maja 2016 r. o efektywności energetycznej     :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Planowana data zakończenia realizacji inwestycji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OBOWIĄZEK INFORMACYJNY -</w:t>
      </w:r>
    </w:p>
    <w:p w:rsidR="00000000" w:rsidDel="00000000" w:rsidP="00000000" w:rsidRDefault="00000000" w:rsidRPr="00000000" w14:paraId="000000B3">
      <w:pPr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PROGRAM DOFINANSOWAŃ PRZEDSIĘWZIĘĆ SŁUŻĄCYCH</w:t>
      </w:r>
    </w:p>
    <w:p w:rsidR="00000000" w:rsidDel="00000000" w:rsidP="00000000" w:rsidRDefault="00000000" w:rsidRPr="00000000" w14:paraId="000000B4">
      <w:pPr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POPRAWIE EFEKTYWNOŚCI ENERGETYCZNEJ </w:t>
      </w:r>
    </w:p>
    <w:p w:rsidR="00000000" w:rsidDel="00000000" w:rsidP="00000000" w:rsidRDefault="00000000" w:rsidRPr="00000000" w14:paraId="000000B5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Zgodnie z Rozporządzeniem Parlamentu Europejskiego i Rady (UE) 2016/679 z dnia 27 kwietnia 2016 roku w sprawie ochrony osób fizycznych w związku z przetwarzaniem danych osobowych i w sprawie swobodnego przepływu takich danych oraz uchylenia dyrektywy 95/46/WE (dalej „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RODO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”), informujemy, iż:</w:t>
      </w:r>
    </w:p>
    <w:p w:rsidR="00000000" w:rsidDel="00000000" w:rsidP="00000000" w:rsidRDefault="00000000" w:rsidRPr="00000000" w14:paraId="000000B8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Administratorem Pani/Pana danych osobowych jest Veolia ESCO Polska Sp. z o.o. z siedzibą w Warszawie, adres: ul. Puławska 2, 02-566 Warszawa, KRS: 0000834391 (dalej: „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Administrator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Administrator wyznaczał Inspektora Ochrony Danych (IOD), z którym może Pani/Pan się skontaktować pod adresem: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inspektor.pl.vpol@veolia.com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.</w:t>
      </w:r>
    </w:p>
    <w:p w:rsidR="00000000" w:rsidDel="00000000" w:rsidP="00000000" w:rsidRDefault="00000000" w:rsidRPr="00000000" w14:paraId="000000BB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Wnioskodawca - osoba fizyczna</w:t>
      </w:r>
    </w:p>
    <w:p w:rsidR="00000000" w:rsidDel="00000000" w:rsidP="00000000" w:rsidRDefault="00000000" w:rsidRPr="00000000" w14:paraId="000000BD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W przypadku, gdy jest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Pani/Pan wnioskodawcą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o dofinansowanie przedsięwzięcia w zakresie programu dofinansowań (dalej: „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Program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”), realizowanego zgodnie z Regulaminem Programu Dofinansowań Przedsięwzięć Służących Poprawie Efektywności Energetycznej z dnia 15 grudnia 2025 roku (dalej: „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Regulamin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”), Pani/Pana dane osobowe będą przetwarzane do celów:</w:t>
      </w:r>
    </w:p>
    <w:p w:rsidR="00000000" w:rsidDel="00000000" w:rsidP="00000000" w:rsidRDefault="00000000" w:rsidRPr="00000000" w14:paraId="000000BF">
      <w:pPr>
        <w:numPr>
          <w:ilvl w:val="0"/>
          <w:numId w:val="4"/>
        </w:numPr>
        <w:ind w:left="64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rozpoznania wniosku o dofinansowanie złożonego w ramach Programu na zasadach określonych w Regulaminie, w tym oceny wniosku, uzupełnienia wniosku pod względem formalnym (jeśli wystąpią braki), podjęcia decyzji o udzielenia dofinansowania wraz z określeniem warunków i sposobu skorzystania z dofinansowania, odrzucenia wniosku lub powtórnej oceny wniosku na podstawie realizacji prawnie uzasadnionego interesu prawnego Administratora (art. 6 ust. 1 lit. f) RODO), którym jest prawidłowe rozpoznanie przez Administratora wniosku oraz podjęcie decyzji o dofinansowaniu, zgodnie z procedurą wskazaną w Regulaminie,</w:t>
      </w:r>
    </w:p>
    <w:p w:rsidR="00000000" w:rsidDel="00000000" w:rsidP="00000000" w:rsidRDefault="00000000" w:rsidRPr="00000000" w14:paraId="000000C0">
      <w:pPr>
        <w:numPr>
          <w:ilvl w:val="0"/>
          <w:numId w:val="4"/>
        </w:numPr>
        <w:ind w:left="64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przypadku podjęcia pozytywnej decyzji o dofinansowaniu do celu podjęcia czynności niezbędnych przed zawarciem umowy o dofinansowanie, a następnie zawarcia i wykonania umowy o dofinansowanie, w tym w zakresie kontroli przedsięwzięcia i sprawozdawczości w zakresie określonym Regulaminem i umowa o dofinansowanie, a także realizacji wniosku o wypłatę dofinansowania, na podstawie art. 6 ust. 1 lit. b) RODO,</w:t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ind w:left="64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wypełnienia obowiązków prawnych ciążących na Administratorze na podstawie art. 6 ust. 1 lit. c) RODO, w tym do celów rozliczeniowych, sprawozdawczych, podatkowych oraz wynikających z ustawy z dnia 20 maja 2016 roku o efektywności energetycznej, w zakresie i na zasadach określonych obowiązującymi przepisami prawa,</w:t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ind w:left="643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prawnie uzasadnionego interesu Administratora na podstawie art. 6 ust. 1 lit. f) RODO w zakresie dochodzenia, obrony lub ustalenia roszczeń związanych z rozpoznaniem wniosku, a następnie zawarciem i wykonaniem umowy o dofinansowanie.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Okres przetwarzania Pani/Pana danych osobowych jest uzależniony do celu i podstawy przetwarzania: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(1)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w przypadku zawarcia i wykonania umowy o dofinansowanie (art. 6 ust. 1 lit. b) RODO) do czasu wykonywania takiej umowy lub wcześniejszego zakończenia jej obowiązywania,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(2)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w przypadku wypełnienia obowiązków prawnych ciążących na Administratorze (art. 6 ust. 1 lit. c) RODO) przez okres niezbędny do wykonania tych obowiązków prawnych,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(3)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w przypadku prawnie uzasadnionego interesu (art. 6 ust. 1 lit. f) RODO) przez okres odpowiadający okresowi przedawnienia roszczeń, jakich może dochodzić i jakie mogą być dochodzone wobec Administratora, związanych z rozpoznaniem wniosku, a następnie zawarciem i wykonaniem umowy o dofinansowanie, przy czym dalsze przechowywanie Pani/Pana danych osobowych może nastąpić jedynie, gdy obowiązujące przepisy prawa nakładają Administratora obowiązek przechowywania takich danych. </w:t>
      </w:r>
    </w:p>
    <w:p w:rsidR="00000000" w:rsidDel="00000000" w:rsidP="00000000" w:rsidRDefault="00000000" w:rsidRPr="00000000" w14:paraId="000000C4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Wnioskodawca – osoba prawna lub jednostka organizacyjna</w:t>
      </w:r>
    </w:p>
    <w:p w:rsidR="00000000" w:rsidDel="00000000" w:rsidP="00000000" w:rsidRDefault="00000000" w:rsidRPr="00000000" w14:paraId="000000C6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W przypadku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Pani/Pan występuje jako osoba kontaktowa lub reprezentant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wnioskodawcy (np. członek zarządu, pełnomocnik, pracownik), Pani/Pana dane osobowe zostały przekazane bezpośrednio przez Panią/Pana (np. w ramach wniosku) lub podmiot, który jest wnioskodawcą (źródło pochodzenia danych). W takim przypadku Pani/Pana osobowe będą przetwarzane do celów prawnie uzasadnionego Administratora na podstawie art. 6 ust. 1 lit. f) RODO, którym jest realizacja komunikacji, a także zapewnienie prawidłowej reprezentacji wnioskodawcy, w ramach rozpoznania wniosku o dofinansowanie, a w przypadku pozytywnej decyzji – zawarcia i wykonania umowy o dofinansowanie, a także realizacji wniosku o wypłatę dofinansowania.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Pani/Pana dane osobowe będą przetwarzane przez okres procedury rozpoznania wniosku o dofinansowanie, zawarcia i wykonania umowy o dofinansowanie, a następnie przez okres odpowiadający okresowi przedawnienia roszczeń, jakich może dochodzić i jakie mogą być dochodzone wobec Administratora, związanych z rozpoznaniem wniosku, a następnie zawarciem i wykonaniem umowy o dofinansowanie, przy czym dalsze przechowywanie Pani/Pana danych osobowych może nastąpić jedynie, gdy obowiązujące przepisy prawa nakładają Administratora obowiązek przechowywania takich danych.</w:t>
      </w:r>
    </w:p>
    <w:p w:rsidR="00000000" w:rsidDel="00000000" w:rsidP="00000000" w:rsidRDefault="00000000" w:rsidRPr="00000000" w14:paraId="000000C9">
      <w:pPr>
        <w:ind w:left="36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Pozostałe Informacje</w:t>
      </w:r>
    </w:p>
    <w:p w:rsidR="00000000" w:rsidDel="00000000" w:rsidP="00000000" w:rsidRDefault="00000000" w:rsidRPr="00000000" w14:paraId="000000CB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Podanie Pani/Pana danych jest dobrowolne, jednak jest warunkiem rozpoznania wniosku o dofinansowanie, a także w przypadku decyzji pozytywnej - zawarcia i wykonania umowy.  Brak podania danych może uniemożliwić rozpoznanie ww. wniosku bądź zawarcie lub wykonanie umowy o dofinansowanie. 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Pani/Pana dane osobowe mogą być przekazane podmiotom (odbiorcom), które dostarczają niezbędne usługi na potrzeby Administratora (np. księgowe, prawne, informatyczne), a także podmiotom z grupy Veolia.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Pani/Pana dane osobowe mogą być transferowane do państw trzecich (poza Europejski Obszar Gospodarczy), w szczególności w związku z korzystaniem przez Veolia z globalnych rozwiązań IT. Dane mogą być przekazywane do państw trzecich, wobec których Komisja Europejska wydała decyzję o stwierdzeniu zapewnienia odpowiedniego stopnia ochrony. W wypadku państw trzecich, wobec których taka decyzja nie została wydana, transfer danych może być każdorazowo dokonywany z zachowaniem jednego z rozwiązań mających na celu zapewnienie odpowiedniego poziomu zabezpieczenia danych, o którym mowa w rozdziale V RODO. Informacje o zabezpieczeniach, o których mowa w zdaniu poprzedzającym można uzyskać kontaktując się z Inspektorem ochrony danych osobowych. 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Pani/Pana dane osobowe nie podlegają zautomatyzowanemu podejmowaniu decyzji, w tym profilowaniu. 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ind w:left="360" w:hanging="36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Ma Pani/Pan prawo do dostępu do treści swoich danych, sprostowania, usunięcia lub ograniczenia przetwarzania danych, przenoszenia danych, wniesienia sprzeciwu, cofnięcia zgody w dowolnym momencie bez wpływu na zgodność z prawem przetwarzania, którego dokonano na podstawie zgody przed jej cofnięciem.  Ponadto, ma Pani/Pan prawo wniesienia skargi do Prezesa Urzędu ds. Ochrony Danych Osobowych w przypadku, gdy uzna Pan, iż przetwarzanie danych osobowych narusza przepisy RODO.</w:t>
      </w:r>
    </w:p>
    <w:p w:rsidR="00000000" w:rsidDel="00000000" w:rsidP="00000000" w:rsidRDefault="00000000" w:rsidRPr="00000000" w14:paraId="000000D1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………………………………..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(podpis wnioskodawcy)</w:t>
      </w:r>
    </w:p>
    <w:sectPr>
      <w:headerReference r:id="rId8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b w:val="1"/>
        <w:bCs w:val="1"/>
        <w:color w:val="000000"/>
        <w:u w:val="single"/>
        <w:rtl w:val="0"/>
      </w:rPr>
      <w:t xml:space="preserve">Załącznik nr 1 do Regulaminu – Wzór wniosku o dofinansowanie przedsięwzięcia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)"/>
      <w:lvlJc w:val="left"/>
      <w:pPr>
        <w:ind w:left="64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3" w:hanging="359.99999999999943"/>
      </w:pPr>
      <w:rPr>
        <w:u w:val="none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9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A73FE0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basedOn w:val="Normalny"/>
    <w:uiPriority w:val="34"/>
    <w:qFormat w:val="1"/>
    <w:rsid w:val="00A73FE0"/>
    <w:pPr>
      <w:ind w:left="720"/>
      <w:contextualSpacing w:val="1"/>
    </w:pPr>
  </w:style>
  <w:style w:type="table" w:styleId="Tabela-Siatka">
    <w:name w:val="Table Grid"/>
    <w:basedOn w:val="Standardowy"/>
    <w:uiPriority w:val="39"/>
    <w:rsid w:val="00A13FF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wek">
    <w:name w:val="header"/>
    <w:basedOn w:val="Normalny"/>
    <w:link w:val="NagwekZnak"/>
    <w:uiPriority w:val="99"/>
    <w:unhideWhenUsed w:val="1"/>
    <w:rsid w:val="00A13FFE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13FFE"/>
    <w:rPr>
      <w:rFonts w:ascii="Times New Roman" w:cs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 w:val="1"/>
    <w:rsid w:val="00A13FFE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13FFE"/>
    <w:rPr>
      <w:rFonts w:ascii="Times New Roman" w:cs="Times New Roman" w:eastAsia="Times New Roman" w:hAnsi="Times New Roman"/>
    </w:rPr>
  </w:style>
  <w:style w:type="character" w:styleId="Hipercze">
    <w:name w:val="Hyperlink"/>
    <w:basedOn w:val="Domylnaczcionkaakapitu"/>
    <w:uiPriority w:val="99"/>
    <w:semiHidden w:val="1"/>
    <w:unhideWhenUsed w:val="1"/>
    <w:rsid w:val="0081231B"/>
    <w:rPr>
      <w:color w:val="0000ff"/>
      <w:u w:val="single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Poprawka">
    <w:name w:val="Revision"/>
    <w:hidden w:val="1"/>
    <w:uiPriority w:val="99"/>
    <w:semiHidden w:val="1"/>
    <w:rsid w:val="00883629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spektor.pl.vpol@veolia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DIrwH8gjZ7MJQ4sd55kpiBTGOA==">CgMxLjAyCGguZ2pkZ3hzOAByITFfakVva3VpUURjZ2lpZC1kWmhaeUpFY1c5Q3RRR29rSQ==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2021-11-30T08:17:00Z</dcterms:created>
  <dc:creator>Joanna Bartosiewicz</dc:creator>
</cp:coreProperties>
</file>