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50" w:before="120" w:lineRule="auto"/>
        <w:jc w:val="center"/>
        <w:rPr>
          <w:rFonts w:ascii="Open Sans" w:cs="Open Sans" w:eastAsia="Open Sans" w:hAnsi="Open Sans"/>
          <w:b w:val="1"/>
          <w:bCs w:val="1"/>
        </w:rPr>
      </w:pPr>
      <w:bookmarkStart w:colFirst="0" w:colLast="0" w:name="_heading=h.gjdgxs" w:id="0"/>
      <w:bookmarkEnd w:id="0"/>
      <w:r w:rsidDel="00000000" w:rsidR="00000000" w:rsidRPr="00000000">
        <w:rPr>
          <w:rFonts w:ascii="Open Sans" w:cs="Open Sans" w:eastAsia="Open Sans" w:hAnsi="Open Sans"/>
          <w:b w:val="1"/>
          <w:bCs w:val="1"/>
          <w:rtl w:val="0"/>
        </w:rPr>
        <w:t xml:space="preserve">Kryteria oceny</w:t>
      </w:r>
    </w:p>
    <w:tbl>
      <w:tblPr>
        <w:tblStyle w:val="Table1"/>
        <w:tblW w:w="90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92"/>
        <w:gridCol w:w="1264"/>
        <w:tblGridChange w:id="0">
          <w:tblGrid>
            <w:gridCol w:w="7792"/>
            <w:gridCol w:w="1264"/>
          </w:tblGrid>
        </w:tblGridChange>
      </w:tblGrid>
      <w:tr>
        <w:trPr>
          <w:cantSplit w:val="0"/>
          <w:tblHeader w:val="0"/>
        </w:trPr>
        <w:tc>
          <w:tcPr/>
          <w:p w:rsidR="00000000" w:rsidDel="00000000" w:rsidP="00000000" w:rsidRDefault="00000000" w:rsidRPr="00000000" w14:paraId="00000002">
            <w:pPr>
              <w:spacing w:after="150" w:before="12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Opis kryterium, którego spełnienie jest konieczne do uzyskania dofinansowania:</w:t>
            </w:r>
          </w:p>
        </w:tc>
        <w:tc>
          <w:tcPr/>
          <w:p w:rsidR="00000000" w:rsidDel="00000000" w:rsidP="00000000" w:rsidRDefault="00000000" w:rsidRPr="00000000" w14:paraId="00000003">
            <w:pPr>
              <w:spacing w:after="150" w:before="120" w:lineRule="auto"/>
              <w:jc w:val="cente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Spełnia </w:t>
            </w:r>
          </w:p>
          <w:p w:rsidR="00000000" w:rsidDel="00000000" w:rsidP="00000000" w:rsidRDefault="00000000" w:rsidRPr="00000000" w14:paraId="00000004">
            <w:pPr>
              <w:spacing w:after="150" w:before="120" w:lineRule="auto"/>
              <w:jc w:val="cente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 nie spełnia</w:t>
            </w:r>
          </w:p>
        </w:tc>
      </w:tr>
      <w:tr>
        <w:trPr>
          <w:cantSplit w:val="0"/>
          <w:tblHeader w:val="0"/>
        </w:trPr>
        <w:tc>
          <w:tcPr/>
          <w:p w:rsidR="00000000" w:rsidDel="00000000" w:rsidP="00000000" w:rsidRDefault="00000000" w:rsidRPr="00000000" w14:paraId="00000005">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Wnioskodawca jest odbiorcą końcowym dokonującym zakupu paliw lub energii na własny użytek</w:t>
            </w:r>
          </w:p>
        </w:tc>
        <w:tc>
          <w:tcPr/>
          <w:p w:rsidR="00000000" w:rsidDel="00000000" w:rsidP="00000000" w:rsidRDefault="00000000" w:rsidRPr="00000000" w14:paraId="00000006">
            <w:pPr>
              <w:spacing w:after="150" w:before="120" w:lineRule="auto"/>
              <w:jc w:val="center"/>
              <w:rPr>
                <w:rFonts w:ascii="Open Sans" w:cs="Open Sans" w:eastAsia="Open Sans" w:hAnsi="Open Sans"/>
              </w:rPr>
            </w:pPr>
            <w:r w:rsidDel="00000000" w:rsidR="00000000" w:rsidRPr="00000000">
              <w:rPr>
                <w:rtl w:val="0"/>
              </w:rPr>
            </w:r>
          </w:p>
        </w:tc>
      </w:tr>
      <w:tr>
        <w:trPr>
          <w:cantSplit w:val="0"/>
          <w:tblHeader w:val="0"/>
        </w:trPr>
        <w:tc>
          <w:tcPr/>
          <w:p w:rsidR="00000000" w:rsidDel="00000000" w:rsidP="00000000" w:rsidRDefault="00000000" w:rsidRPr="00000000" w14:paraId="00000007">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Wnioskodawca nie dokonuje zakupu energii elektrycznej w celu jej magazynowania lub zużycia na potrzeby wytwarzania, przesyłania lub dystrybucji energii elektrycznej </w:t>
            </w:r>
          </w:p>
        </w:tc>
        <w:tc>
          <w:tcPr/>
          <w:p w:rsidR="00000000" w:rsidDel="00000000" w:rsidP="00000000" w:rsidRDefault="00000000" w:rsidRPr="00000000" w14:paraId="00000008">
            <w:pPr>
              <w:spacing w:after="150" w:before="120" w:lineRule="auto"/>
              <w:jc w:val="center"/>
              <w:rPr>
                <w:rFonts w:ascii="Open Sans" w:cs="Open Sans" w:eastAsia="Open Sans" w:hAnsi="Open Sans"/>
              </w:rPr>
            </w:pPr>
            <w:r w:rsidDel="00000000" w:rsidR="00000000" w:rsidRPr="00000000">
              <w:rPr>
                <w:rtl w:val="0"/>
              </w:rPr>
            </w:r>
          </w:p>
        </w:tc>
      </w:tr>
      <w:tr>
        <w:trPr>
          <w:cantSplit w:val="0"/>
          <w:tblHeader w:val="0"/>
        </w:trPr>
        <w:tc>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Wnioskodawca nie dokonuje zakupu paliw gazowych w celu ich zużycia na potrzeby przesyłania, dystrybucji, magazynowania paliw gazowych, skraplania gazu ziemnego lub regazyfikacji skroplonego gazu ziemnego</w:t>
            </w:r>
            <w:r w:rsidDel="00000000" w:rsidR="00000000" w:rsidRPr="00000000">
              <w:rPr>
                <w:rtl w:val="0"/>
              </w:rPr>
            </w:r>
          </w:p>
        </w:tc>
        <w:tc>
          <w:tcPr/>
          <w:p w:rsidR="00000000" w:rsidDel="00000000" w:rsidP="00000000" w:rsidRDefault="00000000" w:rsidRPr="00000000" w14:paraId="0000000A">
            <w:pPr>
              <w:spacing w:after="150" w:before="120" w:lineRule="auto"/>
              <w:jc w:val="center"/>
              <w:rPr>
                <w:rFonts w:ascii="Open Sans" w:cs="Open Sans" w:eastAsia="Open Sans" w:hAnsi="Open Sans"/>
              </w:rPr>
            </w:pPr>
            <w:r w:rsidDel="00000000" w:rsidR="00000000" w:rsidRPr="00000000">
              <w:rPr>
                <w:rtl w:val="0"/>
              </w:rPr>
            </w:r>
          </w:p>
        </w:tc>
      </w:tr>
      <w:tr>
        <w:trPr>
          <w:cantSplit w:val="0"/>
          <w:tblHeader w:val="0"/>
        </w:trPr>
        <w:tc>
          <w:tcPr/>
          <w:p w:rsidR="00000000" w:rsidDel="00000000" w:rsidP="00000000" w:rsidRDefault="00000000" w:rsidRPr="00000000" w14:paraId="0000000B">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Wnioskodawca realizuje lub zamierza zrealizować przedsięwzięcie polegające na:</w:t>
            </w:r>
          </w:p>
          <w:p w:rsidR="00000000" w:rsidDel="00000000" w:rsidP="00000000" w:rsidRDefault="00000000" w:rsidRPr="00000000" w14:paraId="0000000C">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  wymianie urządzeń lub instalacji służących do celów ogrzewania lub przygotowania ciepłej wody użytkowej; lub</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b) przyłączeniu do sieci ciepłowniczej</w:t>
            </w:r>
            <w:r w:rsidDel="00000000" w:rsidR="00000000" w:rsidRPr="00000000">
              <w:rPr>
                <w:rtl w:val="0"/>
              </w:rPr>
            </w:r>
          </w:p>
        </w:tc>
        <w:tc>
          <w:tcPr/>
          <w:p w:rsidR="00000000" w:rsidDel="00000000" w:rsidP="00000000" w:rsidRDefault="00000000" w:rsidRPr="00000000" w14:paraId="0000000E">
            <w:pPr>
              <w:spacing w:after="150" w:before="120" w:lineRule="auto"/>
              <w:jc w:val="center"/>
              <w:rPr>
                <w:rFonts w:ascii="Open Sans" w:cs="Open Sans" w:eastAsia="Open Sans" w:hAnsi="Open Sans"/>
              </w:rPr>
            </w:pPr>
            <w:r w:rsidDel="00000000" w:rsidR="00000000" w:rsidRPr="00000000">
              <w:rPr>
                <w:rtl w:val="0"/>
              </w:rPr>
            </w:r>
          </w:p>
        </w:tc>
      </w:tr>
      <w:tr>
        <w:trPr>
          <w:cantSplit w:val="0"/>
          <w:tblHeader w:val="0"/>
        </w:trPr>
        <w:tc>
          <w:tcPr/>
          <w:p w:rsidR="00000000" w:rsidDel="00000000" w:rsidP="00000000" w:rsidRDefault="00000000" w:rsidRPr="00000000" w14:paraId="0000000F">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Wnioskodawca posiada tytuł prawny do nieruchomości, na której realizowane będzie Przedsięwzięcie lub która zostanie przyłączona do sieci ciepłowniczej</w:t>
            </w:r>
          </w:p>
        </w:tc>
        <w:tc>
          <w:tcPr/>
          <w:p w:rsidR="00000000" w:rsidDel="00000000" w:rsidP="00000000" w:rsidRDefault="00000000" w:rsidRPr="00000000" w14:paraId="00000010">
            <w:pPr>
              <w:spacing w:after="150" w:before="120" w:lineRule="auto"/>
              <w:jc w:val="center"/>
              <w:rPr>
                <w:rFonts w:ascii="Open Sans" w:cs="Open Sans" w:eastAsia="Open Sans" w:hAnsi="Open Sans"/>
              </w:rPr>
            </w:pPr>
            <w:r w:rsidDel="00000000" w:rsidR="00000000" w:rsidRPr="00000000">
              <w:rPr>
                <w:rtl w:val="0"/>
              </w:rPr>
            </w:r>
          </w:p>
        </w:tc>
      </w:tr>
      <w:tr>
        <w:trPr>
          <w:cantSplit w:val="0"/>
          <w:tblHeader w:val="0"/>
        </w:trPr>
        <w:tc>
          <w:tcPr/>
          <w:p w:rsidR="00000000" w:rsidDel="00000000" w:rsidP="00000000" w:rsidRDefault="00000000" w:rsidRPr="00000000" w14:paraId="00000011">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 przypadku wymiany urządzeń lub instalacji służących do celów ogrzewania lub przygotowania ciepłej wody użytkowej, Wnioskodawca posiada tytuł prawny do wymienianych urządzeń</w:t>
            </w:r>
          </w:p>
        </w:tc>
        <w:tc>
          <w:tcPr/>
          <w:p w:rsidR="00000000" w:rsidDel="00000000" w:rsidP="00000000" w:rsidRDefault="00000000" w:rsidRPr="00000000" w14:paraId="00000012">
            <w:pPr>
              <w:spacing w:after="150" w:before="120" w:lineRule="auto"/>
              <w:jc w:val="center"/>
              <w:rPr>
                <w:rFonts w:ascii="Open Sans" w:cs="Open Sans" w:eastAsia="Open Sans" w:hAnsi="Open Sans"/>
              </w:rPr>
            </w:pPr>
            <w:r w:rsidDel="00000000" w:rsidR="00000000" w:rsidRPr="00000000">
              <w:rPr>
                <w:rtl w:val="0"/>
              </w:rPr>
            </w:r>
          </w:p>
        </w:tc>
      </w:tr>
      <w:tr>
        <w:trPr>
          <w:cantSplit w:val="0"/>
          <w:tblHeader w:val="0"/>
        </w:trPr>
        <w:tc>
          <w:tcPr/>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 przypadku wymiany urządzeń lub instalacji służących do celów ogrzewania lub przygotowania ciepłej wody użytkowej, dotychczasowe urządzenia lub instalacje zostaną wymienione na urządzenia lub instalacje służące do celów ogrzewania lub przygotowania ciepłej wody użytkowej charakteryzujące się wyższą klasą efektywności energetycznej, o której mowa w aktach delegowanych w rozumieniu art. 2 ust. 1 ustawy z dnia 14 września 2012 r. o etykietowaniu energetycznym produktów związanych z energią, z zastrzeżeniem art. 7 ust. 2 rozporządzenia Parlamentu Europejskiego i Rady (UE) 2017/1369 z dnia 4 lipca 2017 r. ustanawiającego ramy etykietowania energetycznego i uchylającego dyrektywę 2010/30/UE (Dz. Urz. UE L 198 z 28.07.2017, str. 1)</w:t>
            </w:r>
            <w:r w:rsidDel="00000000" w:rsidR="00000000" w:rsidRPr="00000000">
              <w:rPr>
                <w:rtl w:val="0"/>
              </w:rPr>
            </w:r>
          </w:p>
        </w:tc>
        <w:tc>
          <w:tcPr/>
          <w:p w:rsidR="00000000" w:rsidDel="00000000" w:rsidP="00000000" w:rsidRDefault="00000000" w:rsidRPr="00000000" w14:paraId="00000014">
            <w:pPr>
              <w:spacing w:after="150" w:before="120" w:lineRule="auto"/>
              <w:jc w:val="center"/>
              <w:rPr>
                <w:rFonts w:ascii="Open Sans" w:cs="Open Sans" w:eastAsia="Open Sans" w:hAnsi="Open Sans"/>
              </w:rPr>
            </w:pPr>
            <w:r w:rsidDel="00000000" w:rsidR="00000000" w:rsidRPr="00000000">
              <w:rPr>
                <w:rtl w:val="0"/>
              </w:rPr>
            </w:r>
          </w:p>
        </w:tc>
      </w:tr>
      <w:tr>
        <w:trPr>
          <w:cantSplit w:val="0"/>
          <w:tblHeader w:val="0"/>
        </w:trPr>
        <w:tc>
          <w:tcPr/>
          <w:p w:rsidR="00000000" w:rsidDel="00000000" w:rsidP="00000000" w:rsidRDefault="00000000" w:rsidRPr="00000000" w14:paraId="00000015">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Sprawność systemu grzewczego przed realizacją Przedsięwzięcia nie jest mniejsza niż wynika to z wymagań dotyczących poziomów referencyjnych sezonowej efektywności energetycznej ogrzewania pomieszczeń dla kotłów na paliwo stałe określonych w rozporządzeniu Komisji UE 2015/1189 z dnia 28 kwietnia 2015 r. w sprawie wykonania dyrektywy Parlamentu Europejskiego i Rady 2009/125/WE w odniesieniu do wymogów dotyczących ekoprojektu dla kotłów na paliwo stałe (Dz. Urz. UE L 193 z 21.07.2015, str. 100, z późn. zm.).</w:t>
            </w:r>
            <w:r w:rsidDel="00000000" w:rsidR="00000000" w:rsidRPr="00000000">
              <w:rPr>
                <w:rtl w:val="0"/>
              </w:rPr>
            </w:r>
          </w:p>
        </w:tc>
        <w:tc>
          <w:tcPr/>
          <w:p w:rsidR="00000000" w:rsidDel="00000000" w:rsidP="00000000" w:rsidRDefault="00000000" w:rsidRPr="00000000" w14:paraId="00000016">
            <w:pPr>
              <w:spacing w:after="150" w:before="120" w:lineRule="auto"/>
              <w:jc w:val="center"/>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17">
      <w:pPr>
        <w:rPr/>
      </w:pPr>
      <w:r w:rsidDel="00000000" w:rsidR="00000000" w:rsidRPr="00000000">
        <w:rPr>
          <w:rtl w:val="0"/>
        </w:rPr>
      </w:r>
    </w:p>
    <w:sectPr>
      <w:headerReference r:id="rId7" w:type="default"/>
      <w:pgSz w:h="16840" w:w="11900" w:orient="portrait"/>
      <w:pgMar w:bottom="1417" w:top="1375"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Załącznik nr 2 do Regulaminu – Kryteria oceny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ny" w:default="1">
    <w:name w:val="Normal"/>
    <w:qFormat w:val="1"/>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text-justify" w:customStyle="1">
    <w:name w:val="text-justify"/>
    <w:basedOn w:val="Normalny"/>
    <w:rsid w:val="002129EC"/>
    <w:pPr>
      <w:spacing w:after="100" w:afterAutospacing="1" w:before="100" w:beforeAutospacing="1"/>
    </w:pPr>
    <w:rPr>
      <w:rFonts w:ascii="Times New Roman" w:cs="Times New Roman" w:eastAsia="Times New Roman" w:hAnsi="Times New Roman"/>
    </w:rPr>
  </w:style>
  <w:style w:type="character" w:styleId="Hipercze">
    <w:name w:val="Hyperlink"/>
    <w:basedOn w:val="Domylnaczcionkaakapitu"/>
    <w:uiPriority w:val="99"/>
    <w:semiHidden w:val="1"/>
    <w:unhideWhenUsed w:val="1"/>
    <w:rsid w:val="002129EC"/>
    <w:rPr>
      <w:color w:val="0000ff"/>
      <w:u w:val="single"/>
    </w:rPr>
  </w:style>
  <w:style w:type="paragraph" w:styleId="Nagwek">
    <w:name w:val="header"/>
    <w:basedOn w:val="Normalny"/>
    <w:link w:val="NagwekZnak"/>
    <w:uiPriority w:val="99"/>
    <w:unhideWhenUsed w:val="1"/>
    <w:rsid w:val="00262D69"/>
    <w:pPr>
      <w:tabs>
        <w:tab w:val="center" w:pos="4536"/>
        <w:tab w:val="right" w:pos="9072"/>
      </w:tabs>
    </w:pPr>
  </w:style>
  <w:style w:type="character" w:styleId="NagwekZnak" w:customStyle="1">
    <w:name w:val="Nagłówek Znak"/>
    <w:basedOn w:val="Domylnaczcionkaakapitu"/>
    <w:link w:val="Nagwek"/>
    <w:uiPriority w:val="99"/>
    <w:rsid w:val="00262D69"/>
  </w:style>
  <w:style w:type="paragraph" w:styleId="Stopka">
    <w:name w:val="footer"/>
    <w:basedOn w:val="Normalny"/>
    <w:link w:val="StopkaZnak"/>
    <w:uiPriority w:val="99"/>
    <w:unhideWhenUsed w:val="1"/>
    <w:rsid w:val="00262D69"/>
    <w:pPr>
      <w:tabs>
        <w:tab w:val="center" w:pos="4536"/>
        <w:tab w:val="right" w:pos="9072"/>
      </w:tabs>
    </w:pPr>
  </w:style>
  <w:style w:type="character" w:styleId="StopkaZnak" w:customStyle="1">
    <w:name w:val="Stopka Znak"/>
    <w:basedOn w:val="Domylnaczcionkaakapitu"/>
    <w:link w:val="Stopka"/>
    <w:uiPriority w:val="99"/>
    <w:rsid w:val="00262D69"/>
  </w:style>
  <w:style w:type="table" w:styleId="Tabela-Siatka">
    <w:name w:val="Table Grid"/>
    <w:basedOn w:val="Standardowy"/>
    <w:uiPriority w:val="39"/>
    <w:rsid w:val="00262D6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CF7nM6euY38E83Jm3UBZ2on3PQ==">CgMxLjAyCGguZ2pkZ3hzOAByITEwMFpzZVJBVjlhV1UwR0Y3OWNZcy15NGxFVE9VZW9mSg==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2021-12-06T12:39:00Z</dcterms:created>
  <dc:creator>Joanna Bartosiewicz</dc:creator>
</cp:coreProperties>
</file>