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WNIOSEK O WYPŁATĘ DOFINANSOWANIA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276"/>
        <w:gridCol w:w="2682"/>
        <w:tblGridChange w:id="0">
          <w:tblGrid>
            <w:gridCol w:w="5098"/>
            <w:gridCol w:w="1276"/>
            <w:gridCol w:w="268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Oznaczenie Podmiotu Zobowiązanego, do którego kierowany jest wniosek: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Nazwa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złożenia wniosku: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Dane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Imię i nazwisko lub nazwa firmy/jednostki organizacyjnej: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zamieszkania/siedziba: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telefonu: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Osoba kontaktowa (imię i nazwisko):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konta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Umowa o dofinansowanie: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umowy: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zakończenia realizacji Przedsięwzięcia: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Poniesiony i udokumentowany koszt realizacji Przedsięwzięcia: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Wnioskowana kwota dofinansowania do wypłaty: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Oświadczamy, że Przedsięwzięcie przewidziane w Umowie o dofinansowanie zostało w całości zrealizowane zgodnie z Wnioskiem o dofinansowanie i zawartą Umową o dofinansowanie.   Załączone dokumenty (raport i dowody poniesienia kosztów realizacji inwestycji) są prawdziwe, kompletne i nie były korygowane. </w:t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3D">
      <w:pPr>
        <w:rPr>
          <w:color w:val="000000"/>
        </w:rPr>
      </w:pPr>
      <w:r w:rsidDel="00000000" w:rsidR="00000000" w:rsidRPr="00000000">
        <w:rPr>
          <w:rtl w:val="0"/>
        </w:rPr>
        <w:t xml:space="preserve">(podpis wnioskodawcy)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OBOWIĄZEK INFORMACYJNY -</w:t>
      </w:r>
    </w:p>
    <w:p w:rsidR="00000000" w:rsidDel="00000000" w:rsidP="00000000" w:rsidRDefault="00000000" w:rsidRPr="00000000" w14:paraId="00000040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PROGRAM DOFINANSOWAŃ PRZEDSIĘWZIĘĆ SŁUŻĄCYCH</w:t>
      </w:r>
    </w:p>
    <w:p w:rsidR="00000000" w:rsidDel="00000000" w:rsidP="00000000" w:rsidRDefault="00000000" w:rsidRPr="00000000" w14:paraId="00000041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POPRAWIE EFEKTYWNOŚCI ENERGETYCZNEJ 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RODO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informujemy, iż:</w:t>
      </w:r>
    </w:p>
    <w:p w:rsidR="00000000" w:rsidDel="00000000" w:rsidP="00000000" w:rsidRDefault="00000000" w:rsidRPr="00000000" w14:paraId="00000045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Administratorem Pani/Pana danych osobowych jest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Veolia ESCO Polska Sp. z o.o. z siedzibą w Warszawie, adres: ul. Puławska 2, 02-566 Warszawa, KRS: 0000834391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Administrator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Administrator wyznaczał Inspektora Ochrony Danych (IOD), z którym może Pani/Pan się skontaktować pod adresem: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inspektor.pl.vpol@veolia.com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.</w:t>
      </w:r>
    </w:p>
    <w:p w:rsidR="00000000" w:rsidDel="00000000" w:rsidP="00000000" w:rsidRDefault="00000000" w:rsidRPr="00000000" w14:paraId="00000048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Wnioskodawca - osoba fizyczna</w:t>
      </w:r>
    </w:p>
    <w:p w:rsidR="00000000" w:rsidDel="00000000" w:rsidP="00000000" w:rsidRDefault="00000000" w:rsidRPr="00000000" w14:paraId="0000004A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przypadku, gdy jest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Pani/Pan wnioskodawcą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 dofinansowanie przedsięwzięcia w zakresie programu dofinansowań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Program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realizowanego zgodnie z Regulaminem Programu Dofinansowań Przedsięwzięć Służących Poprawie Efektywności Energetycznej z dnia 15 grudnia 2025 roku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Regulamin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Pani/Pana dane osobowe będą przetwarzane do celów: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rozpoznania wniosku o dofinansowanie złożonego w ramach Programu na zasadach określonych w Regulaminie, w tym oceny wniosku, uzupełnienia wniosku pod względem formalnym (jeśli wystąpią braki), podjęcia decyzji o udzielenia dofinansowania wraz z określeniem warunków i sposobu skorzystania z dofinansowania, odrzucenia wniosku lub powtórnej oceny wniosku na podstawie realizacji prawnie uzasadnionego interesu prawnego Administratora (art. 6 ust. 1 lit. f) RODO), którym jest prawidłowe rozpoznanie przez Administratora wniosku oraz podjęcie decyzji o dofinansowaniu, zgodnie z procedurą wskazaną w Regulaminie,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przypadku podjęcia pozytywnej decyzji o dofinansowaniu do celu podjęcia czynności niezbędnych przed zawarciem umowy o dofinansowanie, a następnie zawarcia i wykonania umowy o dofinansowanie, w tym w zakresie kontroli przedsięwzięcia i sprawozdawczości w zakresie określonym Regulaminem i umowa o dofinansowanie, a także realizacji wniosku o wypłatę dofinansowania, na podstawie art. 6 ust. 1 lit. b) RODO,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wypełnienia obowiązków prawnych ciążących na Administratorze na podstawie art. 6 ust. 1 lit. c) RODO, w tym do celów rozliczeniowych, sprawozdawczych, podatkowych oraz wynikających z ustawy z dnia 20 maja 2016 roku o efektywności energetycznej, w zakresie i na zasadach określonych obowiązującymi przepisami prawa,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prawnie uzasadnionego interesu Administratora na podstawie art. 6 ust. 1 lit. f) RODO w zakresie dochodzenia, obrony lub ustalenia roszczeń związanych z rozpoznaniem wniosku, a następnie zawarciem i wykonaniem umowy o dofinansowanie.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Okres przetwarzania Pani/Pana danych osobowych jest uzależniony do celu i podstawy przetwarzania: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(1)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zawarcia i wykonania umowy o dofinansowanie (art. 6 ust. 1 lit. b) RODO) do czasu wykonywania takiej umowy lub wcześniejszego zakończenia jej obowiązywania,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(2)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wypełnienia obowiązków prawnych ciążących na Administratorze (art. 6 ust. 1 lit. c) RODO) przez okres niezbędny do wykonania tych obowiązków prawnych,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(3)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prawnie uzasadnionego interesu (art. 6 ust. 1 lit. f) RODO)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 </w:t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Wnioskodawca – osoba prawna lub jednostka organizacyjna</w:t>
      </w:r>
    </w:p>
    <w:p w:rsidR="00000000" w:rsidDel="00000000" w:rsidP="00000000" w:rsidRDefault="00000000" w:rsidRPr="00000000" w14:paraId="00000053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Pani/Pan występuje jako osoba kontaktowa lub reprezentant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wnioskodawcy (np. członek zarządu, pełnomocnik, pracownik), Pani/Pana dane osobowe zostały przekazane bezpośrednio przez Panią/Pana (np. w ramach wniosku) lub podmiot, który jest wnioskodawcą (źródło pochodzenia danych). W takim przypadku Pani/Pana osobowe będą przetwarzane do celów prawnie uzasadnionego Administratora na podstawie art. 6 ust. 1 lit. f) RODO, którym jest realizacja komunikacji, a także zapewnienie prawidłowej reprezentacji wnioskodawcy, w ramach rozpoznania wniosku o dofinansowanie, a w przypadku pozytywnej decyzji – zawarcia i wykonania umowy o dofinansowanie, a także realizacji wniosku o wypłatę dofinansowania.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będą przetwarzane przez okres procedury rozpoznania wniosku o dofinansowanie, zawarcia i wykonania umowy o dofinansowanie, a następnie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56">
      <w:pPr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Pozostałe Informacje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Podanie Pani/Pana danych jest dobrowolne, jednak jest warunkiem rozpoznania wniosku o dofinansowanie, a także w przypadku decyzji pozytywnej - zawarcia i wykonania umowy.  Brak podania danych może uniemożliwić rozpoznanie ww. wniosku bądź zawarcie lub wykonanie umowy o dofinansowanie.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mogą być przekazane podmiotom (odbiorcom), które dostarczają niezbędne usługi na potrzeby Administratora (np. księgowe, prawne, informatyczne), a także podmiotom z grupy Veolia.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mogą być transferowane do państw trzecich (poza Europejski Obszar Gospodarczy), w szczególności w związku z korzystaniem przez Veolia z globalnych rozwiązań IT. Dane mogą być przekazywane do państw trzecich, wobec których Komisja Europejska wydała decyzję o stwierdzeniu zapewnienia odpowiedniego stopnia ochrony. W wypadku państw trzecich, wobec których taka decyzja nie została wydana, transfer danych może być każdorazowo dokonywany z zachowaniem jednego z rozwiązań mających na celu zapewnienie odpowiedniego poziomu zabezpieczenia danych, o którym mowa w rozdziale V RODO. Informacje o zabezpieczeniach, o których mowa w zdaniu poprzedzającym można uzyskać kontaktując się z Inspektorem ochrony danych osobowych. 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nie podlegają zautomatyzowanemu podejmowaniu decyzji, w tym profilowaniu. 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 Pani/Pan prawo do dostępu do treści swoich danych, sprostowania, usunięcia lub ograniczenia przetwarzania danych, przenoszenia danych, wniesienia sprzeciwu, cofnięcia zgody w dowolnym momencie bez wpływu na zgodność z prawem przetwarzania, którego dokonano na podstawie zgody przed jej cofnięciem.  Ponadto, ma Pani/Pan prawo wniesienia skargi do Prezesa Urzędu ds. Ochrony Danych Osobowych w przypadku, gdy uzna Pan, iż przetwarzanie danych osobowych narusza przepisy RODO.</w:t>
      </w:r>
    </w:p>
    <w:p w:rsidR="00000000" w:rsidDel="00000000" w:rsidP="00000000" w:rsidRDefault="00000000" w:rsidRPr="00000000" w14:paraId="0000005E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(podpis wnioskodawcy)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Załącznik nr </w:t>
    </w:r>
    <w:r w:rsidDel="00000000" w:rsidR="00000000" w:rsidRPr="00000000">
      <w:rPr>
        <w:b w:val="1"/>
        <w:bCs w:val="1"/>
        <w:u w:val="single"/>
        <w:rtl w:val="0"/>
      </w:rPr>
      <w:t xml:space="preserve">5</w:t>
    </w:r>
    <w:r w:rsidDel="00000000" w:rsidR="00000000" w:rsidRPr="00000000">
      <w:rPr>
        <w:b w:val="1"/>
        <w:bCs w:val="1"/>
        <w:color w:val="000000"/>
        <w:u w:val="single"/>
        <w:rtl w:val="0"/>
      </w:rPr>
      <w:t xml:space="preserve"> do Regulaminu – Wzór wniosku o wypłatę dofinansowania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3" w:hanging="359.99999999999943"/>
      </w:pPr>
      <w:rPr>
        <w:u w:val="no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73FE0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34"/>
    <w:qFormat w:val="1"/>
    <w:rsid w:val="00A73FE0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A13F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13FFE"/>
    <w:rPr>
      <w:rFonts w:ascii="Times New Roman" w:cs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13FFE"/>
    <w:rPr>
      <w:rFonts w:ascii="Times New Roman" w:cs="Times New Roman" w:eastAsia="Times New Roman" w:hAnsi="Times New Roman"/>
    </w:rPr>
  </w:style>
  <w:style w:type="paragraph" w:styleId="NormalnyWeb">
    <w:name w:val="Normal (Web)"/>
    <w:basedOn w:val="Normalny"/>
    <w:uiPriority w:val="99"/>
    <w:unhideWhenUsed w:val="1"/>
    <w:rsid w:val="00854357"/>
    <w:pPr>
      <w:spacing w:after="100" w:afterAutospacing="1" w:before="100" w:beforeAutospacing="1"/>
    </w:p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spektor.pl.vpol@veolia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CwpAO7Ja2MGGN7LHMg48wD9kA==">CgMxLjAyCWguMzBqMHpsbDIIaC5namRneHM4AHIhMTZneExaNm1fQjZMcFktblY0WlN2YjBNaE0zV1dCMnlV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2021-11-30T08:17:00Z</dcterms:created>
  <dc:creator>Joanna Bartosiewicz</dc:creator>
</cp:coreProperties>
</file>